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A0AF" w14:textId="01A653A3" w:rsidR="001A5170" w:rsidRPr="00B07797" w:rsidRDefault="00772B8B" w:rsidP="00772B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  <w:bookmarkStart w:id="0" w:name="_GoBack"/>
      <w:bookmarkEnd w:id="0"/>
      <w:r w:rsidRPr="00772B8B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   </w:t>
      </w:r>
      <w:r w:rsidRPr="00B07797">
        <w:rPr>
          <w:rFonts w:asciiTheme="minorHAnsi" w:eastAsia="Arial" w:hAnsiTheme="minorHAnsi" w:cs="Arial"/>
          <w:color w:val="000000"/>
          <w:sz w:val="24"/>
          <w:szCs w:val="24"/>
        </w:rPr>
        <w:t>[GENERIC TEMPLATE]</w:t>
      </w:r>
    </w:p>
    <w:tbl>
      <w:tblPr>
        <w:tblStyle w:val="a"/>
        <w:tblW w:w="11199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3402"/>
        <w:gridCol w:w="4820"/>
        <w:gridCol w:w="2977"/>
      </w:tblGrid>
      <w:tr w:rsidR="001A5170" w14:paraId="137765EE" w14:textId="77777777">
        <w:tc>
          <w:tcPr>
            <w:tcW w:w="3402" w:type="dxa"/>
          </w:tcPr>
          <w:p w14:paraId="56E331EA" w14:textId="77777777" w:rsidR="001A5170" w:rsidRDefault="001A5170" w:rsidP="002E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FEBDC4" w14:textId="77777777" w:rsidR="001A5170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2E74A" w14:textId="77777777" w:rsidR="001A5170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MEMORANDUM OF UNDERSTANDING</w:t>
            </w:r>
          </w:p>
          <w:p w14:paraId="1F2FC89E" w14:textId="77777777" w:rsidR="001A5170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BETWEEN</w:t>
            </w:r>
          </w:p>
          <w:p w14:paraId="07301ADC" w14:textId="77777777" w:rsidR="001A5170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DELHI, DELHI, INDIA</w:t>
            </w:r>
          </w:p>
          <w:p w14:paraId="5B832C02" w14:textId="77777777" w:rsidR="001A5170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</w:p>
          <w:p w14:paraId="523C2A82" w14:textId="77777777" w:rsidR="001A5170" w:rsidRDefault="007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___________________________________</w:t>
            </w:r>
          </w:p>
          <w:p w14:paraId="693798A3" w14:textId="77777777" w:rsidR="001A5170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79622" w14:textId="77777777" w:rsidR="001A5170" w:rsidRDefault="001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68E0B30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Memorandum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hereinafter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of Delhi (Delhi,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hereinafter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Registrar, Dr. Vikas Gupta, acting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Delhi University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1922,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Partner University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details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hereinafter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as “Parties”,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separately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“Party”.</w:t>
      </w:r>
    </w:p>
    <w:p w14:paraId="72502553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4C8C8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Clause</w:t>
      </w:r>
    </w:p>
    <w:p w14:paraId="3D875C3A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9E00F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034561C4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D1D30" w14:textId="5D43E87E" w:rsid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‘Agreement’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Memorandum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amendments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made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thereto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time to time by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consent of the parties in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B0544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65BD" w14:textId="712A0D1A" w:rsidR="00A9494E" w:rsidRDefault="009F1378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Amendment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change, modification,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revision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alteration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by the Parties in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59EA5" w14:textId="77777777" w:rsidR="00A9494E" w:rsidRPr="00642765" w:rsidRDefault="00A9494E" w:rsidP="00642765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B6769" w14:textId="71FFFEF9" w:rsidR="009F1378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‘Collaboration’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the joint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cooperative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undertaken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by the Parties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entry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force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agreement.</w:t>
      </w:r>
    </w:p>
    <w:p w14:paraId="04E57A44" w14:textId="77777777" w:rsidR="00A9494E" w:rsidRPr="00642765" w:rsidRDefault="00A9494E" w:rsidP="00642765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F6CFB" w14:textId="77777777" w:rsidR="009F1378" w:rsidRPr="00010EF9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Confidential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Information’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non-public information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shared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Parties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marked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confidential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F052CE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70BC9" w14:textId="44BA58E0" w:rsidR="009F1378" w:rsidRDefault="009F1378" w:rsidP="009F1378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Data Protection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confidential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nature and protection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exchanged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collected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course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 in compliance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standards and best practices for data protection. It </w:t>
      </w:r>
      <w:proofErr w:type="gramStart"/>
      <w:r w:rsidRPr="00010EF9">
        <w:rPr>
          <w:rFonts w:ascii="Times New Roman" w:eastAsia="Times New Roman" w:hAnsi="Times New Roman" w:cs="Times New Roman"/>
          <w:sz w:val="24"/>
          <w:szCs w:val="24"/>
        </w:rPr>
        <w:t>signifies</w:t>
      </w:r>
      <w:proofErr w:type="gram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outlined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and for no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purpose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E7801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FC10D" w14:textId="0DA582FA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‘Dispute’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disagreement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Parties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arise in relation to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interpretation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831CA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DE7AC" w14:textId="576E8744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‘Effective Date’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the date on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force.</w:t>
      </w:r>
    </w:p>
    <w:p w14:paraId="6BBC06CA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3D75F" w14:textId="5AAAF669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‘Force Majeure’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unforeseeable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circumstances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control of the Parties,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natural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acts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vandalism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governmental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actions, and the like,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excuse the Parties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certain obligations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agreement.</w:t>
      </w:r>
    </w:p>
    <w:p w14:paraId="4395FC5D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214D3" w14:textId="275D5BC2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Governing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Law’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indicates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jurisdiction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interpret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enforce,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govern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E2162" w14:textId="77777777" w:rsidR="001A5170" w:rsidRDefault="001A51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3688B" w14:textId="77777777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‘Home Institution’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officially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affiliated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enrolled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</w:p>
    <w:p w14:paraId="758A5417" w14:textId="77777777" w:rsidR="00010EF9" w:rsidRDefault="00010EF9" w:rsidP="00010EF9">
      <w:pPr>
        <w:spacing w:after="0"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E8254" w14:textId="172EB2B4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‘Host Institution’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belonging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received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temporarily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accommodated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55BEC" w14:textId="77777777" w:rsidR="00010EF9" w:rsidRDefault="00010EF9" w:rsidP="00010EF9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10068" w14:textId="77777777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Intellectual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denotes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inventive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creative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mind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legally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protected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proofErr w:type="gramStart"/>
      <w:r w:rsidRPr="00010EF9">
        <w:rPr>
          <w:rFonts w:ascii="Times New Roman" w:eastAsia="Times New Roman" w:hAnsi="Times New Roman" w:cs="Times New Roman"/>
          <w:sz w:val="24"/>
          <w:szCs w:val="24"/>
        </w:rPr>
        <w:t>consists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 of</w:t>
      </w:r>
      <w:proofErr w:type="gram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ownership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creations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proofErr w:type="gramStart"/>
      <w:r w:rsidRPr="00010EF9"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 patents</w:t>
      </w:r>
      <w:proofErr w:type="gram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copyrights,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trademarks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secrets,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proprietary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arising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collaborative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agreement.</w:t>
      </w:r>
    </w:p>
    <w:p w14:paraId="1B893434" w14:textId="77777777" w:rsidR="001A5170" w:rsidRDefault="001A51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31A78" w14:textId="77777777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‘Non-Disclosure Agreement (NDA)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denotes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by the Parties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legally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safeguard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confidential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information as </w:t>
      </w:r>
      <w:proofErr w:type="spellStart"/>
      <w:proofErr w:type="gramStart"/>
      <w:r w:rsidRPr="00010EF9">
        <w:rPr>
          <w:rFonts w:ascii="Times New Roman" w:eastAsia="Times New Roman" w:hAnsi="Times New Roman" w:cs="Times New Roman"/>
          <w:sz w:val="24"/>
          <w:szCs w:val="24"/>
        </w:rPr>
        <w:t>shared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proofErr w:type="gram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69EEC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F881F" w14:textId="4D54EA20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‘Parties’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entities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agreement. </w:t>
      </w:r>
    </w:p>
    <w:p w14:paraId="305B2F88" w14:textId="77777777" w:rsidR="001A5170" w:rsidRDefault="001A51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B4841" w14:textId="77777777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Representative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proofErr w:type="gramStart"/>
      <w:r w:rsidRPr="00010EF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implement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, and supervise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outlined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behalf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Party.</w:t>
      </w:r>
    </w:p>
    <w:p w14:paraId="3E4FA2E8" w14:textId="77777777" w:rsidR="001A5170" w:rsidRDefault="001A51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96817" w14:textId="77777777" w:rsidR="001A5170" w:rsidRPr="00010EF9" w:rsidRDefault="007C1C03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’ signifies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specified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duration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Parties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assess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collaboration.</w:t>
      </w:r>
    </w:p>
    <w:p w14:paraId="07D32273" w14:textId="74C4AF51" w:rsidR="0098115F" w:rsidRPr="00642765" w:rsidRDefault="0098115F" w:rsidP="00642765">
      <w:pPr>
        <w:pStyle w:val="ListParagraph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8C20F56" w14:textId="2CC1FC4C" w:rsidR="0098115F" w:rsidRDefault="0098115F" w:rsidP="00010EF9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-agreement’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Parties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</w:p>
    <w:p w14:paraId="305CC1CF" w14:textId="77777777" w:rsidR="00A9494E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47B1D" w14:textId="00BEBCC7" w:rsidR="00A9494E" w:rsidRPr="00010EF9" w:rsidRDefault="00A9494E" w:rsidP="00A9494E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F9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Termination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the conclusion or end of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EF9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Pr="00010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8C46E" w14:textId="77777777" w:rsidR="00A9494E" w:rsidRPr="00010EF9" w:rsidRDefault="00A9494E" w:rsidP="00642765">
      <w:pPr>
        <w:pStyle w:val="ListParagraph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6C0D0" w14:textId="77777777" w:rsidR="001A5170" w:rsidRDefault="001A51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FD00A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customary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Memorandum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CFFBA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B5239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E0B68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the Agreement</w:t>
      </w:r>
    </w:p>
    <w:p w14:paraId="3B985F30" w14:textId="1F58D663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mutual</w:t>
      </w:r>
      <w:proofErr w:type="spellEnd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collaboration</w:t>
      </w:r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institutions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</w:t>
      </w:r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collaboration and</w:t>
      </w:r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discipline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institutions and </w:t>
      </w:r>
      <w:proofErr w:type="spellStart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exchange of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="001D1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C7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joint initiatives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887613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6953E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812F0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Areas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Cooperation</w:t>
      </w:r>
      <w:proofErr w:type="spellEnd"/>
    </w:p>
    <w:p w14:paraId="523B497E" w14:textId="2E2561D1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</w:t>
      </w:r>
      <w:proofErr w:type="spellStart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endeavo</w:t>
      </w:r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encourage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areas:</w:t>
      </w:r>
      <w:proofErr w:type="gramEnd"/>
    </w:p>
    <w:p w14:paraId="477F4B7A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F65F4" w14:textId="39F8AB1C" w:rsidR="001A5170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Joint </w:t>
      </w:r>
      <w:proofErr w:type="spellStart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esearch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fields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mutual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</w:p>
    <w:p w14:paraId="4A7174FB" w14:textId="45BF4777" w:rsidR="00116E07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Exchange of </w:t>
      </w:r>
      <w:proofErr w:type="spellStart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tudents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Twinning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/Dual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/Joint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</w:t>
      </w:r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0376FE83" w14:textId="74843055" w:rsidR="00116E07" w:rsidRPr="002E5316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Cultural and </w:t>
      </w:r>
      <w:proofErr w:type="spellStart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cademic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exchange of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14:paraId="27772B4B" w14:textId="284D1AB6" w:rsidR="001A5170" w:rsidRPr="002E5316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Exchange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visits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proofErr w:type="spellEnd"/>
    </w:p>
    <w:p w14:paraId="21C49412" w14:textId="77777777" w:rsidR="001A5170" w:rsidRPr="002E5316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Exchange of administrative staff for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capacity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</w:t>
      </w:r>
    </w:p>
    <w:p w14:paraId="0D713662" w14:textId="77777777" w:rsidR="001A5170" w:rsidRPr="002E5316" w:rsidRDefault="007C1C03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in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conferences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symposia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seminars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invitation of the Party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organizing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event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3FF7C9" w14:textId="31B984FA" w:rsidR="001A5170" w:rsidRPr="002E5316" w:rsidRDefault="00116E07" w:rsidP="002E531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Organiz</w:t>
      </w:r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cultural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short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courses</w:t>
      </w:r>
      <w:r w:rsidR="004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</w:p>
    <w:p w14:paraId="73B1DF22" w14:textId="107FEA46" w:rsidR="001A5170" w:rsidRPr="00116E07" w:rsidRDefault="007C1C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co-operation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institutions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jointly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0BB1">
        <w:rPr>
          <w:rFonts w:ascii="Times New Roman" w:eastAsia="Times New Roman" w:hAnsi="Times New Roman" w:cs="Times New Roman"/>
          <w:color w:val="000000"/>
          <w:sz w:val="24"/>
          <w:szCs w:val="24"/>
        </w:rPr>
        <w:t>agree</w:t>
      </w:r>
      <w:proofErr w:type="spellEnd"/>
      <w:r w:rsidRP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CA07ED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71144A3" w14:textId="77777777" w:rsidR="002E5316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AAAD5" w14:textId="77777777" w:rsidR="002E5316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ECA38" w14:textId="001F6111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Forms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Co-operation</w:t>
      </w:r>
      <w:proofErr w:type="spellEnd"/>
      <w:r w:rsidR="00F30BB1">
        <w:rPr>
          <w:rFonts w:ascii="Times New Roman" w:eastAsia="Times New Roman" w:hAnsi="Times New Roman" w:cs="Times New Roman"/>
          <w:b/>
          <w:sz w:val="24"/>
          <w:szCs w:val="24"/>
        </w:rPr>
        <w:t>/Collaboration</w:t>
      </w:r>
    </w:p>
    <w:p w14:paraId="34C085E2" w14:textId="5D62C629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Parties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collaborative and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cooperative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avenues, for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arriving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effective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goals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sub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agreement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Parties. </w:t>
      </w:r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sub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-agreement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BB1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="00F30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DD0A23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E4286" w14:textId="77777777" w:rsidR="002E5316" w:rsidRDefault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AD528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301D5A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diligent efforts for the effective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but are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communication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goals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to time, at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institution,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Agreement.</w:t>
      </w:r>
    </w:p>
    <w:p w14:paraId="20E2B38E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F085B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Coordinators</w:t>
      </w:r>
      <w:proofErr w:type="spellEnd"/>
    </w:p>
    <w:p w14:paraId="3FC0669F" w14:textId="3C537066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Parties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15D1"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proofErr w:type="spellEnd"/>
      <w:r w:rsidR="00C21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nodal point for </w:t>
      </w:r>
      <w:proofErr w:type="spellStart"/>
      <w:r w:rsidR="00C215D1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 w:rsidR="00C21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provisions of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532DBA40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F16F3" w14:textId="77777777" w:rsidR="001A5170" w:rsidRPr="002E5316" w:rsidRDefault="007C1C03" w:rsidP="002E531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University of </w:t>
      </w:r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Delhi:</w:t>
      </w:r>
      <w:proofErr w:type="gramEnd"/>
    </w:p>
    <w:p w14:paraId="213018C2" w14:textId="680BD464" w:rsidR="001A5170" w:rsidRPr="002E5316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and </w:t>
      </w:r>
      <w:proofErr w:type="spellStart"/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215D1">
        <w:rPr>
          <w:rFonts w:ascii="Times New Roman" w:eastAsia="Times New Roman" w:hAnsi="Times New Roman" w:cs="Times New Roman"/>
          <w:color w:val="000000"/>
          <w:sz w:val="24"/>
          <w:szCs w:val="24"/>
        </w:rPr>
        <w:t>Chairperson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, International Relations</w:t>
      </w:r>
    </w:p>
    <w:p w14:paraId="4D3291F5" w14:textId="28DFEA47" w:rsidR="001A5170" w:rsidRPr="002E5316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proofErr w:type="gram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9">
        <w:r w:rsidR="00E4444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chairperson</w:t>
        </w:r>
        <w:r w:rsidR="00E44441" w:rsidRPr="002E531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_ir@du.ac.in</w:t>
        </w:r>
      </w:hyperlink>
    </w:p>
    <w:p w14:paraId="281648C9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30641" w14:textId="77777777" w:rsidR="001A5170" w:rsidRPr="002E5316" w:rsidRDefault="007C1C03" w:rsidP="002E531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For Partner </w:t>
      </w:r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University:</w:t>
      </w:r>
      <w:proofErr w:type="gramEnd"/>
    </w:p>
    <w:p w14:paraId="7B43F780" w14:textId="77777777" w:rsidR="001A5170" w:rsidRPr="002E5316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Name and </w:t>
      </w:r>
      <w:proofErr w:type="spellStart"/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Designation</w:t>
      </w:r>
      <w:proofErr w:type="spell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proofErr w:type="gramEnd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14:paraId="797AEE7F" w14:textId="77777777" w:rsidR="001A5170" w:rsidRPr="002E5316" w:rsidRDefault="007C1C03" w:rsidP="002E53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2E53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Email:</w:t>
      </w:r>
      <w:proofErr w:type="gramEnd"/>
    </w:p>
    <w:p w14:paraId="7C1C67DB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94826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1C2EF" w14:textId="5FBF292C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Financial Arrangement</w:t>
      </w:r>
      <w:r w:rsidR="00E44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14:paraId="4BFFF83B" w14:textId="03D1993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arrangements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institutions in respect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44441">
        <w:rPr>
          <w:rFonts w:ascii="Times New Roman" w:eastAsia="Times New Roman" w:hAnsi="Times New Roman" w:cs="Times New Roman"/>
          <w:sz w:val="24"/>
          <w:szCs w:val="24"/>
        </w:rPr>
        <w:t>sub</w:t>
      </w:r>
      <w:proofErr w:type="spellEnd"/>
      <w:r w:rsidR="00E444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relevant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</w:t>
      </w:r>
      <w:r w:rsidR="00E44441"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party. As far as possible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similar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privileges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 w:rsidR="00E44441">
        <w:rPr>
          <w:rFonts w:ascii="Times New Roman" w:eastAsia="Times New Roman" w:hAnsi="Times New Roman" w:cs="Times New Roman"/>
          <w:sz w:val="24"/>
          <w:szCs w:val="24"/>
        </w:rPr>
        <w:t>, 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quid pro quo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basis.</w:t>
      </w:r>
    </w:p>
    <w:p w14:paraId="35E2CC1F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D8F30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AFAAD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Protection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Intellectual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Rights</w:t>
      </w:r>
      <w:proofErr w:type="spellEnd"/>
    </w:p>
    <w:p w14:paraId="3ADFC1AC" w14:textId="12EBA970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information, know-how, patents, copyrights, design,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computer software,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Parties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Memorandum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unilaterally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15C2DE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1A142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415F3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Protection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Confidential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Information</w:t>
      </w:r>
    </w:p>
    <w:p w14:paraId="3EFAF53A" w14:textId="73FD118A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information and documents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exchanged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pursuant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Parties and </w:t>
      </w:r>
      <w:proofErr w:type="spellStart"/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Parties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arties or use the information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consent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Party.</w:t>
      </w:r>
    </w:p>
    <w:p w14:paraId="3C9E85C4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E85EC" w14:textId="77777777" w:rsidR="001A5170" w:rsidRDefault="007C1C0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exchanged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clause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regard, the Parties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Non-Disclosure Agreement,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Parties.</w:t>
      </w:r>
    </w:p>
    <w:p w14:paraId="18E480C9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D4E87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A4AAA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Protection</w:t>
      </w:r>
    </w:p>
    <w:p w14:paraId="7B7F2961" w14:textId="0D80175F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sz w:val="24"/>
          <w:szCs w:val="24"/>
        </w:rPr>
        <w:t xml:space="preserve">Parties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confidentiality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protection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exchanged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course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41">
        <w:rPr>
          <w:rFonts w:ascii="Times New Roman" w:eastAsia="Times New Roman" w:hAnsi="Times New Roman" w:cs="Times New Roman"/>
          <w:sz w:val="24"/>
          <w:szCs w:val="24"/>
        </w:rPr>
        <w:t xml:space="preserve">Agreement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compliance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standards and best practices for data protection. The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Parties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issue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amicably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consultation and good-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negotiation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37555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92AE5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Settlement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Disputes</w:t>
      </w:r>
    </w:p>
    <w:p w14:paraId="610F9E68" w14:textId="4A4717F3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Parties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amicably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consultation and good-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negotiation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Parties. If, in spite of the best efforts, the dispute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unresolved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2768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or 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otherwise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mutually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agreed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writing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Agreement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terminated</w:t>
      </w:r>
      <w:proofErr w:type="spellEnd"/>
      <w:r w:rsidR="002768E5">
        <w:rPr>
          <w:rFonts w:ascii="Times New Roman" w:eastAsia="Times New Roman" w:hAnsi="Times New Roman" w:cs="Times New Roman"/>
          <w:sz w:val="24"/>
          <w:szCs w:val="24"/>
        </w:rPr>
        <w:t xml:space="preserve"> as per Article XV of </w:t>
      </w:r>
      <w:proofErr w:type="spellStart"/>
      <w:r w:rsidR="002768E5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276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8E5"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 w:rsidR="002768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CE85B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AAA61A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Amendment</w:t>
      </w:r>
      <w:proofErr w:type="spellEnd"/>
    </w:p>
    <w:p w14:paraId="03B31262" w14:textId="3BF03B01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Agreement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consent of the </w:t>
      </w:r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arties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detailed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subsequent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</w:t>
      </w:r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amended</w:t>
      </w:r>
      <w:proofErr w:type="spellEnd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</w:t>
      </w:r>
      <w:proofErr w:type="spellStart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appended</w:t>
      </w:r>
      <w:proofErr w:type="spellEnd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original </w:t>
      </w:r>
      <w:proofErr w:type="spellStart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proofErr w:type="spellEnd"/>
      <w:r w:rsidR="002768E5">
        <w:rPr>
          <w:rFonts w:ascii="Times New Roman" w:eastAsia="Times New Roman" w:hAnsi="Times New Roman" w:cs="Times New Roman"/>
          <w:color w:val="000000"/>
          <w:sz w:val="24"/>
          <w:szCs w:val="24"/>
        </w:rPr>
        <w:t>/Agreement.</w:t>
      </w:r>
    </w:p>
    <w:p w14:paraId="07D4F267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XIII: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Effective Date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Duration</w:t>
      </w:r>
    </w:p>
    <w:p w14:paraId="0F6400C2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Agreement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last date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force for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..........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7DD3D1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833BB64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XIV: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Renewal</w:t>
      </w:r>
      <w:proofErr w:type="spellEnd"/>
    </w:p>
    <w:p w14:paraId="13A8A33A" w14:textId="71FAB449" w:rsidR="001A5170" w:rsidRDefault="00276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consent of the Parties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7C1C03">
        <w:rPr>
          <w:rFonts w:ascii="Times New Roman" w:eastAsia="Times New Roman" w:hAnsi="Times New Roman" w:cs="Times New Roman"/>
          <w:sz w:val="24"/>
          <w:szCs w:val="24"/>
        </w:rPr>
        <w:t>Either</w:t>
      </w:r>
      <w:proofErr w:type="spellEnd"/>
      <w:r w:rsidR="007C1C03">
        <w:rPr>
          <w:rFonts w:ascii="Times New Roman" w:eastAsia="Times New Roman" w:hAnsi="Times New Roman" w:cs="Times New Roman"/>
          <w:sz w:val="24"/>
          <w:szCs w:val="24"/>
        </w:rPr>
        <w:t xml:space="preserve"> Party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process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C03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proofErr w:type="spellStart"/>
      <w:r w:rsidR="007C1C03"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 w:rsidR="007C1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C03">
        <w:rPr>
          <w:rFonts w:ascii="Times New Roman" w:eastAsia="Times New Roman" w:hAnsi="Times New Roman" w:cs="Times New Roman"/>
          <w:sz w:val="24"/>
          <w:szCs w:val="24"/>
        </w:rPr>
        <w:t>prior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8AAEE1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3BA2B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Termination</w:t>
      </w:r>
      <w:proofErr w:type="spellEnd"/>
    </w:p>
    <w:p w14:paraId="42E9C196" w14:textId="6E58F915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r w:rsidR="00D53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/training/exchanges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unaffected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if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place.  For conditions not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Agreement, or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course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undertake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refrain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unilateral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 and </w:t>
      </w:r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 to consulting and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negotiating</w:t>
      </w:r>
      <w:proofErr w:type="spellEnd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reach</w:t>
      </w:r>
      <w:proofErr w:type="spellEnd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mutually</w:t>
      </w:r>
      <w:proofErr w:type="spellEnd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acceptable </w:t>
      </w:r>
      <w:proofErr w:type="spellStart"/>
      <w:r w:rsidR="00116E07">
        <w:rPr>
          <w:rFonts w:ascii="Times New Roman" w:eastAsia="Times New Roman" w:hAnsi="Times New Roman" w:cs="Times New Roman"/>
          <w:color w:val="000000"/>
          <w:sz w:val="24"/>
          <w:szCs w:val="24"/>
        </w:rPr>
        <w:t>decisions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B479A7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BAD32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XVI: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Force Majeure</w:t>
      </w:r>
    </w:p>
    <w:p w14:paraId="74C04F4F" w14:textId="75C029AE" w:rsidR="001A5170" w:rsidRDefault="007C1C03" w:rsidP="002E53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unforeseeable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5302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vandalism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performance of obligations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excused</w:t>
      </w:r>
      <w:proofErr w:type="spellEnd"/>
      <w:r w:rsidR="00D53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026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="00D53026">
        <w:rPr>
          <w:rFonts w:ascii="Times New Roman" w:eastAsia="Times New Roman" w:hAnsi="Times New Roman" w:cs="Times New Roman"/>
          <w:sz w:val="24"/>
          <w:szCs w:val="24"/>
        </w:rPr>
        <w:t xml:space="preserve"> performance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arty of the Force Majeure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impact.</w:t>
      </w:r>
    </w:p>
    <w:p w14:paraId="4467BD7F" w14:textId="77777777" w:rsidR="00D53026" w:rsidRPr="002E5316" w:rsidRDefault="00D53026" w:rsidP="002E53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F7AB2" w14:textId="77777777" w:rsidR="001A5170" w:rsidRDefault="007C1C0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XVII: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proofErr w:type="spellEnd"/>
    </w:p>
    <w:p w14:paraId="3702AED8" w14:textId="3E2CA5EE" w:rsidR="001A5170" w:rsidRDefault="007C1C0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E07"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 w:rsidR="00116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English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case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discrepancy</w:t>
      </w:r>
      <w:proofErr w:type="spellEnd"/>
      <w:r w:rsidR="00D530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53026">
        <w:rPr>
          <w:rFonts w:ascii="Times New Roman" w:eastAsia="Times New Roman" w:hAnsi="Times New Roman" w:cs="Times New Roman"/>
          <w:sz w:val="24"/>
          <w:szCs w:val="24"/>
        </w:rPr>
        <w:t>inconsistency</w:t>
      </w:r>
      <w:proofErr w:type="spellEnd"/>
      <w:r w:rsidR="00D53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026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translation, the English version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026">
        <w:rPr>
          <w:rFonts w:ascii="Times New Roman" w:eastAsia="Times New Roman" w:hAnsi="Times New Roman" w:cs="Times New Roman"/>
          <w:sz w:val="24"/>
          <w:szCs w:val="24"/>
        </w:rPr>
        <w:t>prevail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8CBF4" w14:textId="77777777" w:rsidR="001A5170" w:rsidRDefault="001A5170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215B9" w14:textId="167F0C02" w:rsidR="001A5170" w:rsidRDefault="007C1C03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XVIII: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Signature</w:t>
      </w:r>
    </w:p>
    <w:p w14:paraId="7AD83A56" w14:textId="51E67AC5" w:rsidR="001A5170" w:rsidRDefault="007C1C0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Memorandum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effective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signatures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26"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arties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5442F72B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1051D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DF0DE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0E3EF" w14:textId="77777777" w:rsidR="001A5170" w:rsidRDefault="001A5170" w:rsidP="002E5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506FE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9F678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for, and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for, and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of,</w:t>
      </w:r>
    </w:p>
    <w:p w14:paraId="50B13C46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University of Delhi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Partner University Name</w:t>
      </w:r>
    </w:p>
    <w:p w14:paraId="3A622BBC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334B11F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BECB1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43ADC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2EDCD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9B02E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D58C554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Designation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9701A8" w14:textId="2118DF29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10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Authorized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Signatory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)</w:t>
      </w:r>
    </w:p>
    <w:p w14:paraId="59275136" w14:textId="77777777" w:rsidR="001A5170" w:rsidRDefault="007C1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date______________________</w:t>
      </w:r>
    </w:p>
    <w:p w14:paraId="546373E3" w14:textId="77777777" w:rsidR="001A5170" w:rsidRDefault="001A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1A5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FE83" w14:textId="77777777" w:rsidR="0059508E" w:rsidRDefault="005950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35B961" w14:textId="77777777" w:rsidR="0059508E" w:rsidRDefault="005950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66AF" w14:textId="77777777" w:rsidR="002E5316" w:rsidRDefault="002E531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31FF" w14:textId="5BDFFD6D" w:rsidR="001A5170" w:rsidRDefault="007C1C03">
    <w:pPr>
      <w:ind w:left="0" w:hanging="2"/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2E5316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E7C3" w14:textId="77777777" w:rsidR="001A5170" w:rsidRDefault="001A517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2DF1D" w14:textId="77777777" w:rsidR="0059508E" w:rsidRDefault="005950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07A1FA" w14:textId="77777777" w:rsidR="0059508E" w:rsidRDefault="005950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8D65" w14:textId="77777777" w:rsidR="002E5316" w:rsidRDefault="002E531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5BC5" w14:textId="77777777" w:rsidR="001A5170" w:rsidRDefault="007C1C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A01844E" wp14:editId="773D4A19">
          <wp:extent cx="1513205" cy="50419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7E6D" w14:textId="4861304D" w:rsidR="002E5316" w:rsidRDefault="002E5316">
    <w:pPr>
      <w:pStyle w:val="Header"/>
      <w:ind w:left="0" w:hanging="2"/>
    </w:pPr>
    <w:r>
      <w:rPr>
        <w:noProof/>
        <w:color w:val="000000"/>
      </w:rPr>
      <w:drawing>
        <wp:inline distT="0" distB="0" distL="114300" distR="114300" wp14:anchorId="5386CF04" wp14:editId="75C0AC82">
          <wp:extent cx="1513205" cy="504190"/>
          <wp:effectExtent l="0" t="0" r="0" b="0"/>
          <wp:docPr id="790258845" name="Picture 7902588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20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3AF"/>
    <w:multiLevelType w:val="hybridMultilevel"/>
    <w:tmpl w:val="E4B2FCD4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62FA"/>
    <w:multiLevelType w:val="multilevel"/>
    <w:tmpl w:val="B0BA4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3228BD"/>
    <w:multiLevelType w:val="multilevel"/>
    <w:tmpl w:val="07500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3335A"/>
    <w:multiLevelType w:val="hybridMultilevel"/>
    <w:tmpl w:val="60ECBAA8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04C6"/>
    <w:multiLevelType w:val="hybridMultilevel"/>
    <w:tmpl w:val="AFD889BC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40517"/>
    <w:multiLevelType w:val="multilevel"/>
    <w:tmpl w:val="DFA69D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BB66ACB"/>
    <w:multiLevelType w:val="hybridMultilevel"/>
    <w:tmpl w:val="587AB646"/>
    <w:lvl w:ilvl="0" w:tplc="5F5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70"/>
    <w:rsid w:val="00010EF9"/>
    <w:rsid w:val="00116E07"/>
    <w:rsid w:val="001A5170"/>
    <w:rsid w:val="001D1C7C"/>
    <w:rsid w:val="002768E5"/>
    <w:rsid w:val="002E163A"/>
    <w:rsid w:val="002E5316"/>
    <w:rsid w:val="00464D21"/>
    <w:rsid w:val="0059508E"/>
    <w:rsid w:val="005A247D"/>
    <w:rsid w:val="00642765"/>
    <w:rsid w:val="00772B8B"/>
    <w:rsid w:val="007C1C03"/>
    <w:rsid w:val="008F07C6"/>
    <w:rsid w:val="0098115F"/>
    <w:rsid w:val="009B0C8A"/>
    <w:rsid w:val="009F1378"/>
    <w:rsid w:val="00A9494E"/>
    <w:rsid w:val="00B07797"/>
    <w:rsid w:val="00C215D1"/>
    <w:rsid w:val="00C579E5"/>
    <w:rsid w:val="00D53026"/>
    <w:rsid w:val="00E44441"/>
    <w:rsid w:val="00F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5D44"/>
  <w15:docId w15:val="{B1A982EE-EF15-2740-9E7B-104171D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ansinterligne">
    <w:name w:val="Sans interlign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customStyle="1" w:styleId="Paragraphedeliste">
    <w:name w:val="Paragraphe de liste"/>
    <w:basedOn w:val="Normal"/>
    <w:pPr>
      <w:ind w:left="720" w:firstLine="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fr-FR" w:eastAsia="zh-CN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fr-FR" w:eastAsia="zh-C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zh-CN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fr-FR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val="fr-FR" w:eastAsia="zh-C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an_ir@du.ac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bRpu4EexOtpNjMdJ+uHAElSeA==">CgMxLjA4AHIhMWFKYlo1VWQ2dHZwVWdIYjQyTktrb3V1UnJqUENnclA2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C2145-2B70-4174-A378-F7907FE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University of Delhi</cp:lastModifiedBy>
  <cp:revision>2</cp:revision>
  <dcterms:created xsi:type="dcterms:W3CDTF">2024-05-24T09:11:00Z</dcterms:created>
  <dcterms:modified xsi:type="dcterms:W3CDTF">2024-05-24T09:11:00Z</dcterms:modified>
</cp:coreProperties>
</file>